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 за 2025 год</w:t>
      </w:r>
      <w:r>
        <w:rPr>
          <w:b/>
          <w:sz w:val="28"/>
          <w:szCs w:val="28"/>
        </w:rPr>
      </w:r>
    </w:p>
    <w:p>
      <w:pPr>
        <w:pStyle w:val="6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34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634"/>
        <w:rPr>
          <w:szCs w:val="28"/>
        </w:rPr>
      </w:pPr>
      <w:r>
        <w:rPr>
          <w:szCs w:val="28"/>
        </w:rPr>
      </w:r>
      <w:r>
        <w:rPr>
          <w:szCs w:val="28"/>
        </w:rPr>
      </w:r>
    </w:p>
    <w:tbl>
      <w:tblPr>
        <w:tblW w:w="0" w:type="auto"/>
        <w:tblCellSpacing w:w="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5788"/>
        <w:gridCol w:w="36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CellSpacing w:w="15" w:type="dxa"/>
          <w:trHeight w:val="1961"/>
        </w:trPr>
        <w:tc>
          <w:tcPr>
            <w:tcW w:w="5788" w:type="auto"/>
            <w:vAlign w:val="center"/>
            <w:textDirection w:val="lrTb"/>
            <w:noWrap w:val="false"/>
          </w:tcPr>
          <w:p>
            <w:pPr>
              <w:pStyle w:val="634"/>
              <w:jc w:val="center"/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 xml:space="preserve">Виды экономической деятельности согласно Общероссийского классификатора видов экономической деятельности (ОКВЭД) ОК 029-2001 (КДЕС ред. 1), введенного в действие Постановлением Госстандарта России от 6 ноября 2001 г. </w:t>
            </w:r>
            <w:r>
              <w:rPr>
                <w:lang w:eastAsia="ru-RU"/>
              </w:rPr>
            </w:r>
          </w:p>
          <w:p>
            <w:pPr>
              <w:pStyle w:val="634"/>
              <w:jc w:val="center"/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 xml:space="preserve">№ 454-ст</w:t>
            </w:r>
            <w:r>
              <w:rPr>
                <w:lang w:eastAsia="ru-RU"/>
              </w:rPr>
            </w:r>
          </w:p>
        </w:tc>
        <w:tc>
          <w:tcPr>
            <w:tcW w:w="3676" w:type="auto"/>
            <w:vAlign w:val="center"/>
            <w:textDirection w:val="lrTb"/>
            <w:noWrap w:val="false"/>
          </w:tcPr>
          <w:p>
            <w:pPr>
              <w:pStyle w:val="634"/>
              <w:jc w:val="center"/>
              <w:spacing w:before="100" w:beforeAutospacing="1" w:after="100" w:afterAutospacing="1"/>
              <w:rPr>
                <w:lang w:eastAsia="ru-RU"/>
              </w:rPr>
            </w:pPr>
            <w:r>
              <w:t xml:space="preserve">Число замещенных рабочих мест в субъектах малого и среднего предпринимательства, человек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CellSpacing w:w="15" w:type="dxa"/>
        </w:trPr>
        <w:tc>
          <w:tcPr>
            <w:tcW w:w="5788" w:type="auto"/>
            <w:vAlign w:val="center"/>
            <w:textDirection w:val="lrTb"/>
            <w:noWrap w:val="false"/>
          </w:tcPr>
          <w:p>
            <w:pPr>
              <w:pStyle w:val="634"/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 xml:space="preserve">Всего</w:t>
            </w:r>
            <w:r>
              <w:rPr>
                <w:lang w:eastAsia="ru-RU"/>
              </w:rPr>
            </w:r>
          </w:p>
        </w:tc>
        <w:tc>
          <w:tcPr>
            <w:tcW w:w="3676" w:type="auto"/>
            <w:vAlign w:val="center"/>
            <w:textDirection w:val="lrTb"/>
            <w:noWrap w:val="false"/>
          </w:tcPr>
          <w:p>
            <w:pPr>
              <w:pStyle w:val="63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1025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CellSpacing w:w="15" w:type="dxa"/>
        </w:trPr>
        <w:tc>
          <w:tcPr>
            <w:tcW w:w="5788" w:type="auto"/>
            <w:vAlign w:val="center"/>
            <w:textDirection w:val="lrTb"/>
            <w:noWrap w:val="false"/>
          </w:tcPr>
          <w:p>
            <w:pPr>
              <w:pStyle w:val="634"/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 xml:space="preserve">в том числе:</w:t>
            </w:r>
            <w:r>
              <w:rPr>
                <w:lang w:eastAsia="ru-RU"/>
              </w:rPr>
            </w:r>
          </w:p>
        </w:tc>
        <w:tc>
          <w:tcPr>
            <w:tcW w:w="3676" w:type="auto"/>
            <w:vAlign w:val="center"/>
            <w:textDirection w:val="lrTb"/>
            <w:noWrap w:val="false"/>
          </w:tcPr>
          <w:p>
            <w:pPr>
              <w:pStyle w:val="63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CellSpacing w:w="15" w:type="dxa"/>
        </w:trPr>
        <w:tc>
          <w:tcPr>
            <w:tcW w:w="5788" w:type="auto"/>
            <w:vAlign w:val="center"/>
            <w:textDirection w:val="lrTb"/>
            <w:noWrap w:val="false"/>
          </w:tcPr>
          <w:p>
            <w:pPr>
              <w:pStyle w:val="634"/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 xml:space="preserve">Раздел А. Сельское хозяйство</w:t>
            </w:r>
            <w:r>
              <w:rPr>
                <w:lang w:eastAsia="ru-RU"/>
              </w:rPr>
            </w:r>
          </w:p>
        </w:tc>
        <w:tc>
          <w:tcPr>
            <w:tcW w:w="3676" w:type="auto"/>
            <w:vAlign w:val="center"/>
            <w:textDirection w:val="lrTb"/>
            <w:noWrap w:val="false"/>
          </w:tcPr>
          <w:p>
            <w:pPr>
              <w:pStyle w:val="634"/>
              <w:jc w:val="center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616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CellSpacing w:w="15" w:type="dxa"/>
        </w:trPr>
        <w:tc>
          <w:tcPr>
            <w:tcW w:w="5788" w:type="auto"/>
            <w:vAlign w:val="center"/>
            <w:textDirection w:val="lrTb"/>
            <w:noWrap w:val="false"/>
          </w:tcPr>
          <w:p>
            <w:pPr>
              <w:pStyle w:val="634"/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 xml:space="preserve">Раздел В. Рыболовство и рыбоводство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W w:w="3676" w:type="auto"/>
            <w:vAlign w:val="center"/>
            <w:textDirection w:val="lrTb"/>
            <w:noWrap w:val="false"/>
          </w:tcPr>
          <w:p>
            <w:pPr>
              <w:pStyle w:val="63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CellSpacing w:w="15" w:type="dxa"/>
        </w:trPr>
        <w:tc>
          <w:tcPr>
            <w:tcW w:w="5788" w:type="auto"/>
            <w:vAlign w:val="center"/>
            <w:textDirection w:val="lrTb"/>
            <w:noWrap w:val="false"/>
          </w:tcPr>
          <w:p>
            <w:pPr>
              <w:pStyle w:val="634"/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 xml:space="preserve">Раздел С. Добыча полезных ископаемых</w:t>
            </w:r>
            <w:r>
              <w:rPr>
                <w:lang w:eastAsia="ru-RU"/>
              </w:rPr>
            </w:r>
          </w:p>
        </w:tc>
        <w:tc>
          <w:tcPr>
            <w:tcW w:w="3676" w:type="auto"/>
            <w:vAlign w:val="center"/>
            <w:textDirection w:val="lrTb"/>
            <w:noWrap w:val="false"/>
          </w:tcPr>
          <w:p>
            <w:pPr>
              <w:pStyle w:val="63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CellSpacing w:w="15" w:type="dxa"/>
        </w:trPr>
        <w:tc>
          <w:tcPr>
            <w:tcW w:w="5788" w:type="auto"/>
            <w:vAlign w:val="center"/>
            <w:textDirection w:val="lrTb"/>
            <w:noWrap w:val="false"/>
          </w:tcPr>
          <w:p>
            <w:pPr>
              <w:pStyle w:val="634"/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 xml:space="preserve">Раздел D. Обрабатывающие производства</w:t>
            </w:r>
            <w:r>
              <w:rPr>
                <w:lang w:eastAsia="ru-RU"/>
              </w:rPr>
            </w:r>
          </w:p>
        </w:tc>
        <w:tc>
          <w:tcPr>
            <w:tcW w:w="3676" w:type="auto"/>
            <w:vAlign w:val="center"/>
            <w:textDirection w:val="lrTb"/>
            <w:noWrap w:val="false"/>
          </w:tcPr>
          <w:p>
            <w:pPr>
              <w:pStyle w:val="63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CellSpacing w:w="15" w:type="dxa"/>
        </w:trPr>
        <w:tc>
          <w:tcPr>
            <w:tcW w:w="5788" w:type="auto"/>
            <w:vAlign w:val="center"/>
            <w:textDirection w:val="lrTb"/>
            <w:noWrap w:val="false"/>
          </w:tcPr>
          <w:p>
            <w:pPr>
              <w:pStyle w:val="634"/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 xml:space="preserve">Раздел F. Строительство</w:t>
            </w:r>
            <w:r>
              <w:rPr>
                <w:lang w:eastAsia="ru-RU"/>
              </w:rPr>
            </w:r>
          </w:p>
        </w:tc>
        <w:tc>
          <w:tcPr>
            <w:tcW w:w="3676" w:type="auto"/>
            <w:vAlign w:val="center"/>
            <w:textDirection w:val="lrTb"/>
            <w:noWrap w:val="false"/>
          </w:tcPr>
          <w:p>
            <w:pPr>
              <w:pStyle w:val="63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131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CellSpacing w:w="15" w:type="dxa"/>
        </w:trPr>
        <w:tc>
          <w:tcPr>
            <w:tcW w:w="5788" w:type="auto"/>
            <w:vAlign w:val="center"/>
            <w:textDirection w:val="lrTb"/>
            <w:noWrap w:val="false"/>
          </w:tcPr>
          <w:p>
            <w:pPr>
              <w:pStyle w:val="634"/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 xml:space="preserve">Раздел G. Оптовая и розничная торговля; ремонт автотранспортных средств, мотоциклов, бытовых изделий и предметов личного пользования</w:t>
            </w:r>
            <w:r>
              <w:rPr>
                <w:lang w:eastAsia="ru-RU"/>
              </w:rPr>
            </w:r>
          </w:p>
        </w:tc>
        <w:tc>
          <w:tcPr>
            <w:tcW w:w="3676" w:type="auto"/>
            <w:vAlign w:val="center"/>
            <w:textDirection w:val="lrTb"/>
            <w:noWrap w:val="false"/>
          </w:tcPr>
          <w:p>
            <w:pPr>
              <w:pStyle w:val="63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117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CellSpacing w:w="15" w:type="dxa"/>
        </w:trPr>
        <w:tc>
          <w:tcPr>
            <w:tcW w:w="5788" w:type="auto"/>
            <w:vAlign w:val="center"/>
            <w:textDirection w:val="lrTb"/>
            <w:noWrap w:val="false"/>
          </w:tcPr>
          <w:p>
            <w:pPr>
              <w:pStyle w:val="634"/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 xml:space="preserve">Раздел H. Гостиницы и рестораны</w:t>
            </w:r>
            <w:r>
              <w:rPr>
                <w:lang w:eastAsia="ru-RU"/>
              </w:rPr>
            </w:r>
          </w:p>
        </w:tc>
        <w:tc>
          <w:tcPr>
            <w:tcW w:w="3676" w:type="auto"/>
            <w:vAlign w:val="center"/>
            <w:textDirection w:val="lrTb"/>
            <w:noWrap w:val="false"/>
          </w:tcPr>
          <w:p>
            <w:pPr>
              <w:pStyle w:val="63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CellSpacing w:w="15" w:type="dxa"/>
        </w:trPr>
        <w:tc>
          <w:tcPr>
            <w:tcW w:w="5788" w:type="auto"/>
            <w:vAlign w:val="center"/>
            <w:textDirection w:val="lrTb"/>
            <w:noWrap w:val="false"/>
          </w:tcPr>
          <w:p>
            <w:pPr>
              <w:pStyle w:val="634"/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 xml:space="preserve">Раздел I. Транспорт и связь</w:t>
            </w:r>
            <w:r>
              <w:rPr>
                <w:lang w:eastAsia="ru-RU"/>
              </w:rPr>
            </w:r>
          </w:p>
        </w:tc>
        <w:tc>
          <w:tcPr>
            <w:tcW w:w="3676" w:type="auto"/>
            <w:vAlign w:val="center"/>
            <w:textDirection w:val="lrTb"/>
            <w:noWrap w:val="false"/>
          </w:tcPr>
          <w:p>
            <w:pPr>
              <w:pStyle w:val="63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CellSpacing w:w="15" w:type="dxa"/>
        </w:trPr>
        <w:tc>
          <w:tcPr>
            <w:tcW w:w="5788" w:type="auto"/>
            <w:vAlign w:val="center"/>
            <w:textDirection w:val="lrTb"/>
            <w:noWrap w:val="false"/>
          </w:tcPr>
          <w:p>
            <w:pPr>
              <w:pStyle w:val="634"/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 xml:space="preserve">Раздел K. Операции с недвижимым имуществом, аренда и предоставление услуг</w:t>
            </w:r>
            <w:r>
              <w:rPr>
                <w:lang w:eastAsia="ru-RU"/>
              </w:rPr>
            </w:r>
          </w:p>
        </w:tc>
        <w:tc>
          <w:tcPr>
            <w:tcW w:w="3676" w:type="auto"/>
            <w:vAlign w:val="center"/>
            <w:textDirection w:val="lrTb"/>
            <w:noWrap w:val="false"/>
          </w:tcPr>
          <w:p>
            <w:pPr>
              <w:pStyle w:val="63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 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CellSpacing w:w="15" w:type="dxa"/>
        </w:trPr>
        <w:tc>
          <w:tcPr>
            <w:tcW w:w="5788" w:type="auto"/>
            <w:vAlign w:val="center"/>
            <w:textDirection w:val="lrTb"/>
            <w:noWrap w:val="false"/>
          </w:tcPr>
          <w:p>
            <w:pPr>
              <w:pStyle w:val="634"/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 xml:space="preserve">Раздел O. Предоставление прочих коммунальных, социальных и персональных услуг</w:t>
            </w:r>
            <w:r>
              <w:rPr>
                <w:lang w:eastAsia="ru-RU"/>
              </w:rPr>
            </w:r>
          </w:p>
        </w:tc>
        <w:tc>
          <w:tcPr>
            <w:tcW w:w="3676" w:type="auto"/>
            <w:vAlign w:val="center"/>
            <w:textDirection w:val="lrTb"/>
            <w:noWrap w:val="false"/>
          </w:tcPr>
          <w:p>
            <w:pPr>
              <w:pStyle w:val="63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53</w:t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CellSpacing w:w="15" w:type="dxa"/>
        </w:trPr>
        <w:tc>
          <w:tcPr>
            <w:tcW w:w="5788" w:type="auto"/>
            <w:vAlign w:val="center"/>
            <w:textDirection w:val="lrTb"/>
            <w:noWrap w:val="false"/>
          </w:tcPr>
          <w:p>
            <w:pPr>
              <w:pStyle w:val="634"/>
              <w:spacing w:before="100" w:beforeAutospacing="1" w:after="100" w:afterAutospacing="1"/>
              <w:rPr>
                <w:lang w:eastAsia="ru-RU"/>
              </w:rPr>
            </w:pPr>
            <w:r>
              <w:rPr>
                <w:lang w:eastAsia="ru-RU"/>
              </w:rPr>
              <w:t xml:space="preserve">Прочие виды экономической деятельности</w:t>
            </w:r>
            <w:r>
              <w:rPr>
                <w:lang w:eastAsia="ru-RU"/>
              </w:rPr>
            </w:r>
          </w:p>
        </w:tc>
        <w:tc>
          <w:tcPr>
            <w:tcW w:w="3676" w:type="auto"/>
            <w:vAlign w:val="center"/>
            <w:textDirection w:val="lrTb"/>
            <w:noWrap w:val="false"/>
          </w:tcPr>
          <w:p>
            <w:pPr>
              <w:pStyle w:val="63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</w:t>
            </w:r>
            <w:r>
              <w:rPr>
                <w:color w:val="000000"/>
              </w:rPr>
            </w:r>
          </w:p>
        </w:tc>
      </w:tr>
    </w:tbl>
    <w:p>
      <w:pPr>
        <w:pStyle w:val="634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634"/>
        <w:ind w:right="322"/>
        <w:jc w:val="right"/>
        <w:tabs>
          <w:tab w:val="left" w:pos="52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4"/>
        <w:ind w:right="322"/>
        <w:jc w:val="right"/>
        <w:tabs>
          <w:tab w:val="left" w:pos="52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851" w:bottom="851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ahoma">
    <w:panose1 w:val="020B0604030504040204"/>
  </w:font>
  <w:font w:name="Lucida Sans Unicode">
    <w:panose1 w:val="020B0602030504020204"/>
  </w:font>
  <w:font w:name="Courier New">
    <w:panose1 w:val="02070309020205020404"/>
  </w:font>
  <w:font w:name="Mangal">
    <w:panose1 w:val="02040503050406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  <w:font w:name="Wingdings">
    <w:panose1 w:val="05000000000000000000"/>
  </w:font>
  <w:font w:name="Liberation Sans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35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pStyle w:val="636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2)"/>
      <w:lvlJc w:val="left"/>
      <w:pPr>
        <w:ind w:left="1800" w:hanging="360"/>
        <w:tabs>
          <w:tab w:val="num" w:pos="1800" w:leader="none"/>
        </w:tabs>
      </w:pPr>
      <w:rPr>
        <w:rFonts w:ascii="Times New Roman" w:hAnsi="Times New Roman" w:cs="Times New Roman"/>
      </w:rPr>
    </w:lvl>
    <w:lvl w:ilvl="2">
      <w:start w:val="1"/>
      <w:numFmt w:val="lowerRoman"/>
      <w:isLgl w:val="false"/>
      <w:suff w:val="tab"/>
      <w:lvlText w:val="%3."/>
      <w:lvlJc w:val="left"/>
      <w:pPr>
        <w:ind w:left="2520" w:hanging="180"/>
        <w:tabs>
          <w:tab w:val="num" w:pos="2520" w:leader="none"/>
        </w:tabs>
      </w:pPr>
      <w:rPr>
        <w:rFonts w:ascii="Times New Roman" w:hAnsi="Times New Roman"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  <w:rPr>
        <w:rFonts w:ascii="Times New Roman" w:hAnsi="Times New Roman"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  <w:rPr>
        <w:rFonts w:ascii="Times New Roman" w:hAnsi="Times New Roman" w:cs="Times New Roman"/>
      </w:rPr>
    </w:lvl>
    <w:lvl w:ilvl="5">
      <w:start w:val="1"/>
      <w:numFmt w:val="lowerRoman"/>
      <w:isLgl w:val="false"/>
      <w:suff w:val="tab"/>
      <w:lvlText w:val="%6."/>
      <w:lvlJc w:val="left"/>
      <w:pPr>
        <w:ind w:left="4680" w:hanging="180"/>
        <w:tabs>
          <w:tab w:val="num" w:pos="4680" w:leader="none"/>
        </w:tabs>
      </w:pPr>
      <w:rPr>
        <w:rFonts w:ascii="Times New Roman" w:hAnsi="Times New Roman"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  <w:rPr>
        <w:rFonts w:ascii="Times New Roman" w:hAnsi="Times New Roman"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  <w:rPr>
        <w:rFonts w:ascii="Times New Roman" w:hAnsi="Times New Roman" w:cs="Times New Roman"/>
      </w:rPr>
    </w:lvl>
    <w:lvl w:ilvl="8">
      <w:start w:val="1"/>
      <w:numFmt w:val="lowerRoman"/>
      <w:isLgl w:val="false"/>
      <w:suff w:val="tab"/>
      <w:lvlText w:val="%9."/>
      <w:lvlJc w:val="left"/>
      <w:pPr>
        <w:ind w:left="6840" w:hanging="180"/>
        <w:tabs>
          <w:tab w:val="num" w:pos="6840" w:leader="none"/>
        </w:tabs>
      </w:pPr>
      <w:rPr>
        <w:rFonts w:ascii="Times New Roman" w:hAnsi="Times New Roman" w:cs="Times New Roman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4"/>
    <w:next w:val="634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4"/>
    <w:next w:val="63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4"/>
    <w:next w:val="63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4"/>
    <w:next w:val="63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4"/>
    <w:next w:val="63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4"/>
    <w:next w:val="63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4"/>
    <w:next w:val="63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4"/>
    <w:next w:val="63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4"/>
    <w:next w:val="63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4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4"/>
    <w:next w:val="63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4"/>
    <w:next w:val="63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4"/>
    <w:next w:val="63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4"/>
    <w:next w:val="63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4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4"/>
    <w:next w:val="63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4"/>
    <w:next w:val="63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4"/>
    <w:next w:val="63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4"/>
    <w:next w:val="63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4"/>
    <w:next w:val="63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4"/>
    <w:next w:val="63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4"/>
    <w:next w:val="63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4"/>
    <w:next w:val="63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4"/>
    <w:next w:val="63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4"/>
    <w:next w:val="63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4"/>
    <w:next w:val="634"/>
    <w:uiPriority w:val="99"/>
    <w:unhideWhenUsed/>
    <w:pPr>
      <w:spacing w:after="0" w:afterAutospacing="0"/>
    </w:pPr>
  </w:style>
  <w:style w:type="paragraph" w:styleId="634" w:default="1">
    <w:name w:val="Normal"/>
    <w:next w:val="634"/>
    <w:link w:val="634"/>
    <w:qFormat/>
    <w:rPr>
      <w:sz w:val="24"/>
      <w:szCs w:val="24"/>
      <w:lang w:val="ru-RU" w:eastAsia="ar-SA" w:bidi="ar-SA"/>
    </w:rPr>
  </w:style>
  <w:style w:type="paragraph" w:styleId="635">
    <w:name w:val="Заголовок 1"/>
    <w:basedOn w:val="634"/>
    <w:next w:val="634"/>
    <w:link w:val="634"/>
    <w:qFormat/>
    <w:pPr>
      <w:numPr>
        <w:ilvl w:val="0"/>
        <w:numId w:val="1"/>
      </w:numPr>
      <w:jc w:val="center"/>
      <w:spacing w:before="108" w:after="108"/>
      <w:outlineLvl w:val="0"/>
    </w:pPr>
    <w:rPr>
      <w:rFonts w:ascii="Cambria" w:hAnsi="Cambria"/>
      <w:b/>
      <w:bCs/>
      <w:sz w:val="32"/>
      <w:szCs w:val="32"/>
    </w:rPr>
  </w:style>
  <w:style w:type="paragraph" w:styleId="636">
    <w:name w:val="Заголовок 3"/>
    <w:basedOn w:val="634"/>
    <w:next w:val="634"/>
    <w:link w:val="634"/>
    <w:qFormat/>
    <w:pPr>
      <w:numPr>
        <w:ilvl w:val="2"/>
        <w:numId w:val="1"/>
      </w:num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styleId="637">
    <w:name w:val="Основной шрифт абзаца"/>
    <w:next w:val="637"/>
    <w:link w:val="634"/>
  </w:style>
  <w:style w:type="table" w:styleId="638">
    <w:name w:val="Обычная таблица"/>
    <w:next w:val="638"/>
    <w:link w:val="634"/>
    <w:uiPriority w:val="99"/>
    <w:semiHidden/>
    <w:unhideWhenUsed/>
    <w:tblPr/>
  </w:style>
  <w:style w:type="numbering" w:styleId="639">
    <w:name w:val="Нет списка"/>
    <w:next w:val="639"/>
    <w:link w:val="634"/>
    <w:uiPriority w:val="99"/>
    <w:semiHidden/>
    <w:unhideWhenUsed/>
  </w:style>
  <w:style w:type="character" w:styleId="640">
    <w:name w:val="WW8Num2z0"/>
    <w:next w:val="640"/>
    <w:link w:val="634"/>
    <w:rPr>
      <w:rFonts w:cs="Times New Roman"/>
    </w:rPr>
  </w:style>
  <w:style w:type="character" w:styleId="641">
    <w:name w:val="WW8Num3z0"/>
    <w:next w:val="641"/>
    <w:link w:val="634"/>
    <w:rPr>
      <w:rFonts w:cs="Times New Roman"/>
    </w:rPr>
  </w:style>
  <w:style w:type="character" w:styleId="642">
    <w:name w:val="WW8Num4z0"/>
    <w:next w:val="642"/>
    <w:link w:val="634"/>
    <w:rPr>
      <w:rFonts w:ascii="Times New Roman" w:hAnsi="Times New Roman" w:cs="Times New Roman"/>
    </w:rPr>
  </w:style>
  <w:style w:type="character" w:styleId="643">
    <w:name w:val="Absatz-Standardschriftart"/>
    <w:next w:val="643"/>
    <w:link w:val="634"/>
  </w:style>
  <w:style w:type="character" w:styleId="644">
    <w:name w:val="WW-Absatz-Standardschriftart"/>
    <w:next w:val="644"/>
    <w:link w:val="634"/>
  </w:style>
  <w:style w:type="character" w:styleId="645">
    <w:name w:val="WW-Absatz-Standardschriftart1"/>
    <w:next w:val="645"/>
    <w:link w:val="634"/>
  </w:style>
  <w:style w:type="character" w:styleId="646">
    <w:name w:val="WW-Absatz-Standardschriftart11"/>
    <w:next w:val="646"/>
    <w:link w:val="634"/>
  </w:style>
  <w:style w:type="character" w:styleId="647">
    <w:name w:val="WW-Absatz-Standardschriftart111"/>
    <w:next w:val="647"/>
    <w:link w:val="634"/>
  </w:style>
  <w:style w:type="character" w:styleId="648">
    <w:name w:val="WW-Absatz-Standardschriftart1111"/>
    <w:next w:val="648"/>
    <w:link w:val="634"/>
  </w:style>
  <w:style w:type="character" w:styleId="649">
    <w:name w:val="Основной шрифт абзаца1"/>
    <w:next w:val="649"/>
    <w:link w:val="634"/>
  </w:style>
  <w:style w:type="character" w:styleId="650">
    <w:name w:val="Заголовок 1 Знак"/>
    <w:next w:val="650"/>
    <w:link w:val="634"/>
    <w:rPr>
      <w:rFonts w:ascii="Cambria" w:hAnsi="Cambria" w:cs="Times New Roman"/>
      <w:b/>
      <w:sz w:val="32"/>
    </w:rPr>
  </w:style>
  <w:style w:type="character" w:styleId="651">
    <w:name w:val="Заголовок 3 Знак"/>
    <w:next w:val="651"/>
    <w:link w:val="634"/>
    <w:rPr>
      <w:rFonts w:ascii="Cambria" w:hAnsi="Cambria" w:cs="Times New Roman"/>
      <w:b/>
      <w:sz w:val="26"/>
    </w:rPr>
  </w:style>
  <w:style w:type="character" w:styleId="652">
    <w:name w:val="Цветовое выделение"/>
    <w:next w:val="652"/>
    <w:link w:val="634"/>
    <w:rPr>
      <w:b/>
      <w:color w:val="000080"/>
    </w:rPr>
  </w:style>
  <w:style w:type="character" w:styleId="653">
    <w:name w:val="Гипертекстовая ссылка"/>
    <w:next w:val="653"/>
    <w:link w:val="634"/>
    <w:rPr>
      <w:b/>
      <w:color w:val="008000"/>
    </w:rPr>
  </w:style>
  <w:style w:type="character" w:styleId="654">
    <w:name w:val="Нижний колонтитул Знак"/>
    <w:next w:val="654"/>
    <w:link w:val="634"/>
    <w:rPr>
      <w:rFonts w:cs="Times New Roman"/>
      <w:sz w:val="24"/>
    </w:rPr>
  </w:style>
  <w:style w:type="character" w:styleId="655">
    <w:name w:val="Гиперссылка"/>
    <w:next w:val="655"/>
    <w:link w:val="634"/>
    <w:rPr>
      <w:rFonts w:cs="Times New Roman"/>
      <w:color w:val="0000ff"/>
      <w:u w:val="single"/>
    </w:rPr>
  </w:style>
  <w:style w:type="character" w:styleId="656">
    <w:name w:val="Текст выноски Знак"/>
    <w:next w:val="656"/>
    <w:link w:val="634"/>
    <w:rPr>
      <w:rFonts w:cs="Times New Roman"/>
      <w:sz w:val="2"/>
    </w:rPr>
  </w:style>
  <w:style w:type="character" w:styleId="657">
    <w:name w:val="Строгий"/>
    <w:next w:val="657"/>
    <w:link w:val="634"/>
    <w:uiPriority w:val="22"/>
    <w:qFormat/>
    <w:rPr>
      <w:rFonts w:cs="Times New Roman"/>
      <w:b/>
      <w:bCs/>
    </w:rPr>
  </w:style>
  <w:style w:type="character" w:styleId="658">
    <w:name w:val="WW8Num5z0"/>
    <w:next w:val="658"/>
    <w:link w:val="634"/>
    <w:rPr>
      <w:rFonts w:cs="Times New Roman"/>
    </w:rPr>
  </w:style>
  <w:style w:type="character" w:styleId="659">
    <w:name w:val="Символ нумерации"/>
    <w:next w:val="659"/>
    <w:link w:val="634"/>
  </w:style>
  <w:style w:type="paragraph" w:styleId="660">
    <w:name w:val="Заголовок"/>
    <w:basedOn w:val="634"/>
    <w:next w:val="661"/>
    <w:link w:val="634"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661">
    <w:name w:val="Основной текст"/>
    <w:basedOn w:val="634"/>
    <w:next w:val="661"/>
    <w:link w:val="634"/>
    <w:pPr>
      <w:spacing w:before="0" w:after="120"/>
    </w:pPr>
  </w:style>
  <w:style w:type="paragraph" w:styleId="662">
    <w:name w:val="Список"/>
    <w:basedOn w:val="661"/>
    <w:next w:val="662"/>
    <w:link w:val="634"/>
    <w:rPr>
      <w:rFonts w:ascii="Arial" w:hAnsi="Arial" w:cs="Mangal"/>
    </w:rPr>
  </w:style>
  <w:style w:type="paragraph" w:styleId="663">
    <w:name w:val="Название1"/>
    <w:basedOn w:val="634"/>
    <w:next w:val="663"/>
    <w:link w:val="634"/>
    <w:pPr>
      <w:spacing w:before="120" w:after="120"/>
      <w:suppressLineNumbers/>
    </w:pPr>
    <w:rPr>
      <w:rFonts w:ascii="Arial" w:hAnsi="Arial" w:cs="Mangal"/>
      <w:i/>
      <w:iCs/>
      <w:sz w:val="20"/>
      <w:szCs w:val="24"/>
    </w:rPr>
  </w:style>
  <w:style w:type="paragraph" w:styleId="664">
    <w:name w:val="Указатель1"/>
    <w:basedOn w:val="634"/>
    <w:next w:val="664"/>
    <w:link w:val="634"/>
    <w:pPr>
      <w:suppressLineNumbers/>
    </w:pPr>
    <w:rPr>
      <w:rFonts w:ascii="Arial" w:hAnsi="Arial" w:cs="Mangal"/>
    </w:rPr>
  </w:style>
  <w:style w:type="paragraph" w:styleId="665">
    <w:name w:val="Нормальный (таблица)"/>
    <w:basedOn w:val="634"/>
    <w:next w:val="634"/>
    <w:link w:val="634"/>
    <w:pPr>
      <w:jc w:val="both"/>
    </w:pPr>
    <w:rPr>
      <w:rFonts w:ascii="Arial" w:hAnsi="Arial"/>
    </w:rPr>
  </w:style>
  <w:style w:type="paragraph" w:styleId="666">
    <w:name w:val="Прижатый влево"/>
    <w:basedOn w:val="634"/>
    <w:next w:val="634"/>
    <w:link w:val="634"/>
    <w:rPr>
      <w:rFonts w:ascii="Arial" w:hAnsi="Arial"/>
    </w:rPr>
  </w:style>
  <w:style w:type="paragraph" w:styleId="667">
    <w:name w:val="Нижний колонтитул"/>
    <w:basedOn w:val="634"/>
    <w:next w:val="667"/>
    <w:link w:val="634"/>
  </w:style>
  <w:style w:type="paragraph" w:styleId="668">
    <w:name w:val="ConsPlusNormal"/>
    <w:next w:val="668"/>
    <w:link w:val="634"/>
    <w:pPr>
      <w:ind w:firstLine="720"/>
      <w:widowControl w:val="off"/>
    </w:pPr>
    <w:rPr>
      <w:rFonts w:ascii="Arial" w:hAnsi="Arial" w:eastAsia="Arial" w:cs="Arial"/>
      <w:lang w:val="ru-RU" w:eastAsia="ar-SA" w:bidi="ar-SA"/>
    </w:rPr>
  </w:style>
  <w:style w:type="paragraph" w:styleId="669">
    <w:name w:val="Обычный (веб)"/>
    <w:basedOn w:val="634"/>
    <w:next w:val="669"/>
    <w:link w:val="634"/>
    <w:uiPriority w:val="99"/>
    <w:pPr>
      <w:spacing w:before="280" w:after="119"/>
    </w:pPr>
  </w:style>
  <w:style w:type="paragraph" w:styleId="670">
    <w:name w:val="Знак Знак Знак Знак Знак Знак Знак"/>
    <w:basedOn w:val="634"/>
    <w:next w:val="670"/>
    <w:link w:val="634"/>
    <w:pPr>
      <w:jc w:val="both"/>
      <w:spacing w:before="280" w:after="280"/>
    </w:pPr>
    <w:rPr>
      <w:rFonts w:ascii="Tahoma" w:hAnsi="Tahoma"/>
      <w:sz w:val="20"/>
      <w:szCs w:val="20"/>
      <w:lang w:val="en-US"/>
    </w:rPr>
  </w:style>
  <w:style w:type="paragraph" w:styleId="671">
    <w:name w:val="Текст выноски"/>
    <w:basedOn w:val="634"/>
    <w:next w:val="671"/>
    <w:link w:val="634"/>
    <w:rPr>
      <w:sz w:val="2"/>
    </w:rPr>
  </w:style>
  <w:style w:type="paragraph" w:styleId="672">
    <w:name w:val="подпись к объекту"/>
    <w:basedOn w:val="634"/>
    <w:next w:val="634"/>
    <w:link w:val="634"/>
    <w:pPr>
      <w:jc w:val="center"/>
      <w:spacing w:line="240" w:lineRule="atLeast"/>
    </w:pPr>
    <w:rPr>
      <w:b/>
      <w:caps/>
      <w:sz w:val="28"/>
      <w:szCs w:val="20"/>
    </w:rPr>
  </w:style>
  <w:style w:type="paragraph" w:styleId="673">
    <w:name w:val="Содержимое таблицы"/>
    <w:basedOn w:val="634"/>
    <w:next w:val="673"/>
    <w:link w:val="634"/>
    <w:pPr>
      <w:suppressLineNumbers/>
    </w:pPr>
  </w:style>
  <w:style w:type="paragraph" w:styleId="674">
    <w:name w:val="Заголовок таблицы"/>
    <w:basedOn w:val="673"/>
    <w:next w:val="674"/>
    <w:link w:val="634"/>
    <w:pPr>
      <w:jc w:val="center"/>
      <w:suppressLineNumbers/>
    </w:pPr>
    <w:rPr>
      <w:b/>
      <w:bCs/>
    </w:rPr>
  </w:style>
  <w:style w:type="paragraph" w:styleId="675">
    <w:name w:val="ConsNonformat"/>
    <w:next w:val="675"/>
    <w:link w:val="634"/>
    <w:pPr>
      <w:widowControl w:val="off"/>
    </w:pPr>
    <w:rPr>
      <w:rFonts w:ascii="Courier New" w:hAnsi="Courier New" w:eastAsia="Arial" w:cs="Courier New"/>
      <w:sz w:val="18"/>
      <w:szCs w:val="18"/>
      <w:lang w:val="ru-RU" w:eastAsia="ar-SA" w:bidi="ar-SA"/>
    </w:rPr>
  </w:style>
  <w:style w:type="paragraph" w:styleId="676">
    <w:name w:val="Название"/>
    <w:basedOn w:val="634"/>
    <w:next w:val="634"/>
    <w:link w:val="677"/>
    <w:uiPriority w:val="10"/>
    <w:qFormat/>
    <w:pPr>
      <w:jc w:val="center"/>
      <w:spacing w:before="240" w:after="60"/>
      <w:widowControl w:val="off"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character" w:styleId="677">
    <w:name w:val="Название Знак"/>
    <w:next w:val="677"/>
    <w:link w:val="676"/>
    <w:uiPriority w:val="10"/>
    <w:rPr>
      <w:rFonts w:ascii="Cambria" w:hAnsi="Cambria" w:eastAsia="Times New Roman" w:cs="Times New Roman"/>
      <w:b/>
      <w:bCs/>
      <w:sz w:val="32"/>
      <w:szCs w:val="32"/>
      <w:lang w:eastAsia="ar-SA"/>
    </w:rPr>
  </w:style>
  <w:style w:type="character" w:styleId="1011" w:default="1">
    <w:name w:val="Default Paragraph Font"/>
    <w:uiPriority w:val="1"/>
    <w:semiHidden/>
    <w:unhideWhenUsed/>
  </w:style>
  <w:style w:type="numbering" w:styleId="1012" w:default="1">
    <w:name w:val="No List"/>
    <w:uiPriority w:val="99"/>
    <w:semiHidden/>
    <w:unhideWhenUsed/>
  </w:style>
  <w:style w:type="table" w:styleId="101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Новгородского муниципального района</dc:title>
  <dc:creator>User</dc:creator>
  <cp:lastModifiedBy>ekonomika-4</cp:lastModifiedBy>
  <cp:revision>11</cp:revision>
  <dcterms:created xsi:type="dcterms:W3CDTF">2017-04-20T10:22:00Z</dcterms:created>
  <dcterms:modified xsi:type="dcterms:W3CDTF">2026-07-03T07:04:17Z</dcterms:modified>
  <cp:version>917504</cp:version>
</cp:coreProperties>
</file>